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6C64" w14:textId="69C16849" w:rsidR="00BD31D1" w:rsidRPr="00BD31D1" w:rsidRDefault="00BD31D1" w:rsidP="00BD31D1">
      <w:pPr>
        <w:outlineLvl w:val="2"/>
        <w:rPr>
          <w:rFonts w:eastAsia="Times New Roman" w:cs="Times New Roman"/>
          <w:bCs/>
          <w:kern w:val="0"/>
          <w:szCs w:val="27"/>
        </w:rPr>
      </w:pPr>
      <w:r w:rsidRPr="00BD31D1">
        <w:rPr>
          <w:rFonts w:eastAsia="Times New Roman" w:cs="Times New Roman"/>
          <w:bCs/>
          <w:kern w:val="0"/>
          <w:szCs w:val="27"/>
        </w:rPr>
        <w:t>excerpts from Georg Eliot’s essay</w:t>
      </w:r>
      <w:r>
        <w:rPr>
          <w:rFonts w:eastAsia="Times New Roman" w:cs="Times New Roman"/>
          <w:bCs/>
          <w:kern w:val="0"/>
          <w:szCs w:val="27"/>
        </w:rPr>
        <w:t>:</w:t>
      </w:r>
      <w:r w:rsidR="00BD2507">
        <w:rPr>
          <w:rFonts w:eastAsia="Times New Roman" w:cs="Times New Roman"/>
          <w:bCs/>
          <w:kern w:val="0"/>
          <w:szCs w:val="27"/>
        </w:rPr>
        <w:t xml:space="preserve"> “</w:t>
      </w:r>
      <w:r w:rsidRPr="00BD31D1">
        <w:rPr>
          <w:rFonts w:eastAsia="Times New Roman" w:cs="Times New Roman"/>
          <w:bCs/>
          <w:kern w:val="0"/>
          <w:szCs w:val="27"/>
        </w:rPr>
        <w:t xml:space="preserve">Worldliness </w:t>
      </w:r>
      <w:r>
        <w:rPr>
          <w:rFonts w:eastAsia="Times New Roman" w:cs="Times New Roman"/>
          <w:bCs/>
          <w:kern w:val="0"/>
          <w:szCs w:val="27"/>
        </w:rPr>
        <w:t>a</w:t>
      </w:r>
      <w:r w:rsidRPr="00BD31D1">
        <w:rPr>
          <w:rFonts w:eastAsia="Times New Roman" w:cs="Times New Roman"/>
          <w:bCs/>
          <w:kern w:val="0"/>
          <w:szCs w:val="27"/>
        </w:rPr>
        <w:t>nd Other-Worldliness: The Poet Young.</w:t>
      </w:r>
      <w:r w:rsidR="00BD2507">
        <w:rPr>
          <w:rFonts w:eastAsia="Times New Roman" w:cs="Times New Roman"/>
          <w:bCs/>
          <w:kern w:val="0"/>
          <w:szCs w:val="27"/>
        </w:rPr>
        <w:t>” (</w:t>
      </w:r>
      <w:bookmarkStart w:id="0" w:name="citation205"/>
      <w:bookmarkEnd w:id="0"/>
      <w:r w:rsidRPr="00C3086D">
        <w:rPr>
          <w:rFonts w:eastAsia="Times New Roman" w:cs="Times New Roman"/>
          <w:bCs/>
          <w:i/>
          <w:kern w:val="0"/>
          <w:szCs w:val="27"/>
        </w:rPr>
        <w:t>Westminster Review</w:t>
      </w:r>
      <w:r w:rsidRPr="00BD31D1">
        <w:rPr>
          <w:rFonts w:eastAsia="Times New Roman" w:cs="Times New Roman"/>
          <w:bCs/>
          <w:kern w:val="0"/>
          <w:szCs w:val="27"/>
        </w:rPr>
        <w:t xml:space="preserve">, LXVII </w:t>
      </w:r>
      <w:r w:rsidR="00C3086D">
        <w:rPr>
          <w:rFonts w:eastAsia="Times New Roman" w:cs="Times New Roman"/>
          <w:bCs/>
          <w:kern w:val="0"/>
          <w:szCs w:val="27"/>
        </w:rPr>
        <w:t>[</w:t>
      </w:r>
      <w:r w:rsidRPr="00BD31D1">
        <w:rPr>
          <w:rFonts w:eastAsia="Times New Roman" w:cs="Times New Roman"/>
          <w:bCs/>
          <w:kern w:val="0"/>
          <w:szCs w:val="27"/>
        </w:rPr>
        <w:t>January 1857</w:t>
      </w:r>
      <w:r w:rsidR="00C3086D">
        <w:rPr>
          <w:rFonts w:eastAsia="Times New Roman" w:cs="Times New Roman"/>
          <w:bCs/>
          <w:kern w:val="0"/>
          <w:szCs w:val="27"/>
        </w:rPr>
        <w:t>]</w:t>
      </w:r>
      <w:r w:rsidRPr="00BD31D1">
        <w:rPr>
          <w:rFonts w:eastAsia="Times New Roman" w:cs="Times New Roman"/>
          <w:bCs/>
          <w:kern w:val="0"/>
          <w:szCs w:val="27"/>
        </w:rPr>
        <w:t>, pp. 1-42</w:t>
      </w:r>
      <w:r w:rsidR="00C3086D">
        <w:rPr>
          <w:rFonts w:eastAsia="Times New Roman" w:cs="Times New Roman"/>
          <w:bCs/>
          <w:kern w:val="0"/>
          <w:szCs w:val="27"/>
        </w:rPr>
        <w:t>)</w:t>
      </w:r>
    </w:p>
    <w:p w14:paraId="46C1F7DE" w14:textId="77777777" w:rsidR="00BD31D1" w:rsidRPr="00BD31D1" w:rsidRDefault="00BD31D1" w:rsidP="00BD31D1">
      <w:pPr>
        <w:outlineLvl w:val="2"/>
        <w:rPr>
          <w:rFonts w:eastAsia="Times New Roman" w:cs="Times New Roman"/>
          <w:bCs/>
          <w:kern w:val="0"/>
          <w:szCs w:val="27"/>
        </w:rPr>
      </w:pPr>
    </w:p>
    <w:p w14:paraId="1A4EDAB0" w14:textId="449E31A2" w:rsidR="00BD31D1" w:rsidRDefault="00BD31D1" w:rsidP="00BD31D1">
      <w:pPr>
        <w:outlineLvl w:val="2"/>
        <w:rPr>
          <w:rFonts w:eastAsia="Times New Roman" w:cs="Times New Roman"/>
          <w:bCs/>
          <w:kern w:val="0"/>
          <w:szCs w:val="27"/>
        </w:rPr>
      </w:pPr>
    </w:p>
    <w:p w14:paraId="34410B6A" w14:textId="77777777" w:rsidR="00E41C35" w:rsidRDefault="00E41C35" w:rsidP="00BD31D1">
      <w:pPr>
        <w:outlineLvl w:val="2"/>
        <w:rPr>
          <w:rFonts w:eastAsia="Times New Roman" w:cs="Times New Roman"/>
          <w:bCs/>
          <w:kern w:val="0"/>
          <w:szCs w:val="27"/>
        </w:rPr>
      </w:pPr>
    </w:p>
    <w:p w14:paraId="2B8EE8D7" w14:textId="77777777" w:rsidR="008F7B64" w:rsidRDefault="008F7B64" w:rsidP="008F7B64">
      <w:pPr>
        <w:rPr>
          <w:rFonts w:eastAsia="Times New Roman" w:cs="Times New Roman"/>
          <w:kern w:val="0"/>
          <w:szCs w:val="24"/>
        </w:rPr>
      </w:pPr>
    </w:p>
    <w:p w14:paraId="2487530E" w14:textId="77777777" w:rsidR="008F7B64" w:rsidRDefault="008F7B64" w:rsidP="008F7B64">
      <w:pPr>
        <w:rPr>
          <w:rFonts w:eastAsia="Times New Roman" w:cs="Times New Roman"/>
          <w:kern w:val="0"/>
          <w:szCs w:val="24"/>
        </w:rPr>
      </w:pPr>
      <w:r w:rsidRPr="00332057">
        <w:rPr>
          <w:rFonts w:eastAsia="Times New Roman" w:cs="Times New Roman"/>
          <w:kern w:val="0"/>
          <w:szCs w:val="24"/>
        </w:rPr>
        <w:t xml:space="preserve">Pope said of Young, that he had “much of a sublime genius without common-sense.”  The deficiency Pope meant to indicate was, we imagine, moral rather than intellectual: it was the want of that fine sense of what is fitting in speech and action, which is often eminently possessed by men and women whose intellect is of a very common order, but who have the sincerity and dignity which can never coexist with the selfish preoccupations of vanity or interest.  This was the “common-sense” in which Young was conspicuously deficient; and it was partly owing to this deficiency that his genius, waiting to be determined by the highest prize, fluttered uncertainly from effort to effort, until, when he was more than sixty, it suddenly spread its broad wing, and soared </w:t>
      </w:r>
      <w:proofErr w:type="gramStart"/>
      <w:r w:rsidRPr="00332057">
        <w:rPr>
          <w:rFonts w:eastAsia="Times New Roman" w:cs="Times New Roman"/>
          <w:kern w:val="0"/>
          <w:szCs w:val="24"/>
        </w:rPr>
        <w:t>so as to</w:t>
      </w:r>
      <w:proofErr w:type="gramEnd"/>
      <w:r w:rsidRPr="00332057">
        <w:rPr>
          <w:rFonts w:eastAsia="Times New Roman" w:cs="Times New Roman"/>
          <w:kern w:val="0"/>
          <w:szCs w:val="24"/>
        </w:rPr>
        <w:t xml:space="preserve"> arrest the gaze of other generations besides his own.  For he had no versatility of faculty to mislead him.  The “Night Thoughts” only differ from his previous works in the degree and not in the kind of power they manifest.  Whether he writes prose or poetry, rhyme or blank verse, dramas, satires, odes, or meditations, we see everywhere the same Young—the same narrow circle of thoughts, the same love of abstractions, the same telescopic view of human things, the same appetency toward antithetic apothegm and rhapsodic climax.</w:t>
      </w:r>
    </w:p>
    <w:p w14:paraId="7689F67B" w14:textId="77777777" w:rsidR="008F7B64" w:rsidRDefault="008F7B64" w:rsidP="008F7B64">
      <w:pPr>
        <w:rPr>
          <w:rFonts w:eastAsia="Times New Roman" w:cs="Times New Roman"/>
          <w:kern w:val="0"/>
          <w:szCs w:val="24"/>
        </w:rPr>
      </w:pPr>
    </w:p>
    <w:p w14:paraId="6DB36ACE" w14:textId="77777777" w:rsidR="008F7B64" w:rsidRDefault="008F7B64" w:rsidP="008F7B64">
      <w:pPr>
        <w:rPr>
          <w:rFonts w:eastAsia="Times New Roman" w:cs="Times New Roman"/>
          <w:kern w:val="0"/>
          <w:szCs w:val="24"/>
        </w:rPr>
      </w:pPr>
    </w:p>
    <w:p w14:paraId="7602A0C6" w14:textId="77777777" w:rsidR="00E41C35" w:rsidRDefault="00E41C35" w:rsidP="00BD31D1">
      <w:pPr>
        <w:outlineLvl w:val="2"/>
        <w:rPr>
          <w:rFonts w:eastAsia="Times New Roman" w:cs="Times New Roman"/>
          <w:bCs/>
          <w:kern w:val="0"/>
          <w:szCs w:val="27"/>
        </w:rPr>
      </w:pPr>
    </w:p>
    <w:p w14:paraId="4B442894" w14:textId="1026F14D" w:rsidR="008F7B64" w:rsidRDefault="008F7B64" w:rsidP="008F7B64">
      <w:pPr>
        <w:rPr>
          <w:rFonts w:eastAsia="Times New Roman" w:cs="Times New Roman"/>
          <w:kern w:val="0"/>
          <w:szCs w:val="24"/>
        </w:rPr>
      </w:pPr>
      <w:r w:rsidRPr="00332057">
        <w:rPr>
          <w:rFonts w:eastAsia="Times New Roman" w:cs="Times New Roman"/>
          <w:kern w:val="0"/>
          <w:szCs w:val="24"/>
        </w:rPr>
        <w:t xml:space="preserve">One of the most striking characteristics of Young is his </w:t>
      </w:r>
      <w:r w:rsidRPr="00332057">
        <w:rPr>
          <w:rFonts w:eastAsia="Times New Roman" w:cs="Times New Roman"/>
          <w:i/>
          <w:iCs/>
          <w:kern w:val="0"/>
          <w:szCs w:val="24"/>
        </w:rPr>
        <w:t>radical insincerity as a poetic artist</w:t>
      </w:r>
      <w:r w:rsidRPr="00332057">
        <w:rPr>
          <w:rFonts w:eastAsia="Times New Roman" w:cs="Times New Roman"/>
          <w:kern w:val="0"/>
          <w:szCs w:val="24"/>
        </w:rPr>
        <w:t>.  This, added to the thin and artificial texture of his wit, is the true explanation of the paradox—that a poet who is often inopportunely witty has the opposite vice of bombastic absurdity.  The source of all grandiloquence is the want of taking for a criterion the true qualities of the object described or the emotion expressed.  The grandiloquent man is never bent on saying what he feels or what he sees, but on producing a certain effect on his audience; hence he may float away into utter inanity without meeting any criterion to arrest him.  Here lies the distinction between grandiloquence and genuine fancy or bold imaginativeness.  The fantastic or the boldly imaginative poet may be as sincere as the most realistic: he is true to his own sensibilities or inward vision, and in his wildest flights he never breaks loose from his criterion—the truth of his own mental state.  Now, this disruption of language from genuine thought and feeling is what we are constantly detecting in Young; and his insincerity is the more likely to betray him into absurdity, because he habitually treats of abstractions, and not of concrete objects or specific emotions.  He descants perpetually on virtue, religion, “the good man,” life, death, immortality, eternity—subjects which are apt to give a factitious grandeur to empty wordiness.  When a poet floats in the empyrean, and only takes a bird’s-eye view of the earth, some people accept the mere fact of his soaring for sublimity, and mistake his dim vision of earth for proximity to heaven</w:t>
      </w:r>
      <w:r>
        <w:rPr>
          <w:rFonts w:eastAsia="Times New Roman" w:cs="Times New Roman"/>
          <w:kern w:val="0"/>
          <w:szCs w:val="24"/>
        </w:rPr>
        <w:t>. …</w:t>
      </w:r>
    </w:p>
    <w:p w14:paraId="0774017F" w14:textId="77777777" w:rsidR="008F7B64" w:rsidRDefault="008F7B64" w:rsidP="008F7B64">
      <w:pPr>
        <w:rPr>
          <w:rFonts w:eastAsia="Times New Roman" w:cs="Times New Roman"/>
          <w:kern w:val="0"/>
          <w:szCs w:val="24"/>
        </w:rPr>
      </w:pPr>
    </w:p>
    <w:p w14:paraId="2DC62C8B" w14:textId="77777777" w:rsidR="008F7B64" w:rsidRDefault="008F7B64" w:rsidP="008F7B64">
      <w:pPr>
        <w:rPr>
          <w:rFonts w:eastAsia="Times New Roman" w:cs="Times New Roman"/>
          <w:kern w:val="0"/>
          <w:szCs w:val="24"/>
        </w:rPr>
      </w:pPr>
      <w:r w:rsidRPr="00332057">
        <w:rPr>
          <w:rFonts w:eastAsia="Times New Roman" w:cs="Times New Roman"/>
          <w:kern w:val="0"/>
          <w:szCs w:val="24"/>
        </w:rPr>
        <w:t xml:space="preserve">Happily for human nature, we are sure no man really believes that.  Which of us has the impiety not to feel that our souls are only too narrow for the joy of looking into the trusting eyes of our children, of reposing on the love of a husband or a wife—nay, of listening to the divine voice of music, or watching the calm brightness of autumnal afternoons?  But Young could utter this </w:t>
      </w:r>
      <w:r w:rsidRPr="00332057">
        <w:rPr>
          <w:rFonts w:eastAsia="Times New Roman" w:cs="Times New Roman"/>
          <w:kern w:val="0"/>
          <w:szCs w:val="24"/>
        </w:rPr>
        <w:lastRenderedPageBreak/>
        <w:t xml:space="preserve">falsity without detecting it, because, when </w:t>
      </w:r>
      <w:proofErr w:type="gramStart"/>
      <w:r w:rsidRPr="00332057">
        <w:rPr>
          <w:rFonts w:eastAsia="Times New Roman" w:cs="Times New Roman"/>
          <w:kern w:val="0"/>
          <w:szCs w:val="24"/>
        </w:rPr>
        <w:t>he</w:t>
      </w:r>
      <w:proofErr w:type="gramEnd"/>
      <w:r w:rsidRPr="00332057">
        <w:rPr>
          <w:rFonts w:eastAsia="Times New Roman" w:cs="Times New Roman"/>
          <w:kern w:val="0"/>
          <w:szCs w:val="24"/>
        </w:rPr>
        <w:t xml:space="preserve"> spoke of “mortal joys,” he rarely had in his mind any object to which he could attach sacredness.  He was thinking of bishoprics, and benefices, of smiling monarchs, patronizing prime ministers, and a “much indebted muse.”  </w:t>
      </w:r>
      <w:bookmarkStart w:id="1" w:name="page240"/>
      <w:bookmarkEnd w:id="1"/>
      <w:r w:rsidRPr="00332057">
        <w:rPr>
          <w:rFonts w:eastAsia="Times New Roman" w:cs="Times New Roman"/>
          <w:kern w:val="0"/>
          <w:szCs w:val="24"/>
        </w:rPr>
        <w:t>Of anything between these and eternal bliss he was but rarely and moderately conscious.  Often, indeed, he sinks very much below even the bishopric, and seems to have no notion of earthly pleasure but such as breathes gaslight and the fumes of wine.  His picture of life is precisely such as you would expect from a man who has risen from his bed at two o’clock in the afternoon with a headache and a dim remembrance that he has added to his “debts of honor:”</w:t>
      </w:r>
    </w:p>
    <w:p w14:paraId="48649171" w14:textId="77777777" w:rsidR="0087694E" w:rsidRDefault="0087694E" w:rsidP="008F7B64">
      <w:pPr>
        <w:rPr>
          <w:rFonts w:eastAsia="Times New Roman" w:cs="Times New Roman"/>
          <w:kern w:val="0"/>
          <w:szCs w:val="24"/>
        </w:rPr>
      </w:pPr>
    </w:p>
    <w:p w14:paraId="250FA4E0" w14:textId="77777777" w:rsidR="0087694E" w:rsidRDefault="0087694E" w:rsidP="008F7B64">
      <w:pPr>
        <w:rPr>
          <w:rFonts w:eastAsia="Times New Roman" w:cs="Times New Roman"/>
          <w:kern w:val="0"/>
          <w:szCs w:val="24"/>
        </w:rPr>
      </w:pPr>
    </w:p>
    <w:p w14:paraId="5B13CD7F" w14:textId="77777777" w:rsidR="0087694E" w:rsidRDefault="0087694E" w:rsidP="008F7B64">
      <w:pPr>
        <w:rPr>
          <w:rFonts w:eastAsia="Times New Roman" w:cs="Times New Roman"/>
          <w:kern w:val="0"/>
          <w:szCs w:val="24"/>
        </w:rPr>
      </w:pPr>
    </w:p>
    <w:p w14:paraId="5CDAD262" w14:textId="112C5F2F" w:rsidR="00231BC8" w:rsidRDefault="0087694E">
      <w:r w:rsidRPr="00332057">
        <w:rPr>
          <w:rFonts w:eastAsia="Times New Roman" w:cs="Times New Roman"/>
          <w:kern w:val="0"/>
          <w:szCs w:val="24"/>
        </w:rPr>
        <w:t xml:space="preserve">The adherence to abstractions, or to the personification of abstractions, is closely allied in Young to the </w:t>
      </w:r>
      <w:r w:rsidRPr="00332057">
        <w:rPr>
          <w:rFonts w:eastAsia="Times New Roman" w:cs="Times New Roman"/>
          <w:i/>
          <w:iCs/>
          <w:kern w:val="0"/>
          <w:szCs w:val="24"/>
        </w:rPr>
        <w:t>want of genuine emotion</w:t>
      </w:r>
      <w:r w:rsidRPr="00332057">
        <w:rPr>
          <w:rFonts w:eastAsia="Times New Roman" w:cs="Times New Roman"/>
          <w:kern w:val="0"/>
          <w:szCs w:val="24"/>
        </w:rPr>
        <w:t xml:space="preserve">.  He sees virtue sitting on a mount serene, far above the mists and storms of earth; he sees Religion coming down from the skies, with this world in her left hand and the other world in her right; but we never find him dwelling on virtue or religion as it really exists—in the emotions of a man dressed in an ordinary coat, and seated by his fireside of an evening, with his hand resting on the head of his little daughter, in courageous effort for unselfish ends, in the </w:t>
      </w:r>
      <w:bookmarkStart w:id="2" w:name="page243"/>
      <w:bookmarkEnd w:id="2"/>
      <w:r w:rsidRPr="00332057">
        <w:rPr>
          <w:rFonts w:eastAsia="Times New Roman" w:cs="Times New Roman"/>
          <w:kern w:val="0"/>
          <w:szCs w:val="24"/>
        </w:rPr>
        <w:t xml:space="preserve">internal triumph of justice and pity over personal resentment, in all the sublime self-renunciation and sweet charities which are found in the details of ordinary life.  Now, emotion links itself with particulars, and only in a faint and secondary manner with abstractions.  An orator may discourse very eloquently on injustice in general, and leave his audience cold; but let him state a special case of oppression, and every heart will throb.  The most </w:t>
      </w:r>
      <w:proofErr w:type="spellStart"/>
      <w:r w:rsidRPr="00332057">
        <w:rPr>
          <w:rFonts w:eastAsia="Times New Roman" w:cs="Times New Roman"/>
          <w:kern w:val="0"/>
          <w:szCs w:val="24"/>
        </w:rPr>
        <w:t>untheoretic</w:t>
      </w:r>
      <w:proofErr w:type="spellEnd"/>
      <w:r w:rsidRPr="00332057">
        <w:rPr>
          <w:rFonts w:eastAsia="Times New Roman" w:cs="Times New Roman"/>
          <w:kern w:val="0"/>
          <w:szCs w:val="24"/>
        </w:rPr>
        <w:t xml:space="preserve"> persons are aware of this relation between true emotion and particular facts, as opposed to general terms, and implicitly recognize it in the repulsion they feel toward </w:t>
      </w:r>
      <w:proofErr w:type="spellStart"/>
      <w:r w:rsidRPr="00332057">
        <w:rPr>
          <w:rFonts w:eastAsia="Times New Roman" w:cs="Times New Roman"/>
          <w:kern w:val="0"/>
          <w:szCs w:val="24"/>
        </w:rPr>
        <w:t>any one</w:t>
      </w:r>
      <w:proofErr w:type="spellEnd"/>
      <w:r w:rsidRPr="00332057">
        <w:rPr>
          <w:rFonts w:eastAsia="Times New Roman" w:cs="Times New Roman"/>
          <w:kern w:val="0"/>
          <w:szCs w:val="24"/>
        </w:rPr>
        <w:t xml:space="preserve"> who professes strong feeling about abstractions—in the interjectional “Humbug!” which immediately rises to their lips.  Wherever abstractions appear to excite strong emotion, this occurs in men of active intellect and imagination, in whom the abstract term rapidly and vividly calls up the particulars it represents, these particulars being the true source of the emotion; and such men, if they wished to express their feeling, would be infallibly prompted to the presentation of details.  Strong emotion can no more be directed to generalities apart from particulars, than skill in figures can be directed to arithmetic apart from numbers.  Generalities are the refuge at once of deficient intellectual activity and deficient feeling.</w:t>
      </w:r>
    </w:p>
    <w:sectPr w:rsidR="00231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D1"/>
    <w:rsid w:val="001D54A6"/>
    <w:rsid w:val="00231BC8"/>
    <w:rsid w:val="00721429"/>
    <w:rsid w:val="0087694E"/>
    <w:rsid w:val="008F7B64"/>
    <w:rsid w:val="00A55E12"/>
    <w:rsid w:val="00BD2507"/>
    <w:rsid w:val="00BD31D1"/>
    <w:rsid w:val="00C3086D"/>
    <w:rsid w:val="00D4272D"/>
    <w:rsid w:val="00E41C35"/>
    <w:rsid w:val="00FB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102A"/>
  <w15:chartTrackingRefBased/>
  <w15:docId w15:val="{338F9FAC-B231-4B01-9CB9-F2CCC0D8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ourier New"/>
        <w:kern w:val="2"/>
        <w:sz w:val="24"/>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2024-07-15T16:54:00Z</dcterms:created>
  <dcterms:modified xsi:type="dcterms:W3CDTF">2024-07-15T16:57:00Z</dcterms:modified>
</cp:coreProperties>
</file>